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A8" w:rsidRPr="00D17947" w:rsidRDefault="00123AA8" w:rsidP="00123A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p w:rsidR="00123AA8" w:rsidRPr="00D17947" w:rsidRDefault="00123AA8" w:rsidP="00123AA8">
      <w:pPr>
        <w:pStyle w:val="NoSpacing"/>
        <w:rPr>
          <w:rFonts w:ascii="Arial" w:hAnsi="Arial" w:cs="Arial"/>
          <w:noProof/>
        </w:rPr>
      </w:pPr>
      <w:r w:rsidRPr="00D17947">
        <w:rPr>
          <w:rFonts w:ascii="Arial" w:hAnsi="Arial" w:cs="Arial"/>
          <w:noProof/>
        </w:rPr>
        <w:t xml:space="preserve">Boes, K., &amp; Krell, J. (2010). Physical Activity and Motor Fitness of Children and Adolescents–Approaches for Serious Games. </w:t>
      </w:r>
      <w:r w:rsidRPr="00D17947">
        <w:rPr>
          <w:rFonts w:ascii="Arial" w:hAnsi="Arial" w:cs="Arial"/>
          <w:i/>
          <w:noProof/>
        </w:rPr>
        <w:t>Int. J. Comp. Sci. Sport, 9</w:t>
      </w:r>
      <w:r w:rsidRPr="00D17947">
        <w:rPr>
          <w:rFonts w:ascii="Arial" w:hAnsi="Arial" w:cs="Arial"/>
          <w:noProof/>
        </w:rPr>
        <w:t xml:space="preserve">(2), 18-26. </w:t>
      </w:r>
    </w:p>
    <w:p w:rsidR="00123AA8" w:rsidRPr="00D17947" w:rsidRDefault="00123AA8" w:rsidP="00123AA8">
      <w:pPr>
        <w:pStyle w:val="NoSpacing"/>
        <w:rPr>
          <w:rFonts w:ascii="Arial" w:hAnsi="Arial" w:cs="Arial"/>
          <w:noProof/>
        </w:rPr>
      </w:pPr>
    </w:p>
    <w:p w:rsidR="00123AA8" w:rsidRPr="00D17947" w:rsidRDefault="00123AA8" w:rsidP="00123AA8">
      <w:pPr>
        <w:spacing w:line="240" w:lineRule="auto"/>
        <w:rPr>
          <w:rFonts w:ascii="Arial" w:hAnsi="Arial" w:cs="Arial"/>
        </w:rPr>
      </w:pPr>
      <w:r w:rsidRPr="00D17947">
        <w:rPr>
          <w:rFonts w:ascii="Arial" w:hAnsi="Arial" w:cs="Arial"/>
        </w:rPr>
        <w:t xml:space="preserve">Brown, E. (2012, June 4). Virginia’s new secondary graduation requirement: One online course. </w:t>
      </w:r>
      <w:proofErr w:type="gramStart"/>
      <w:r w:rsidRPr="00D17947">
        <w:rPr>
          <w:rFonts w:ascii="Arial" w:hAnsi="Arial" w:cs="Arial"/>
        </w:rPr>
        <w:t>The Washington Post.</w:t>
      </w:r>
      <w:proofErr w:type="gramEnd"/>
      <w:r w:rsidRPr="00D17947">
        <w:rPr>
          <w:rFonts w:ascii="Arial" w:hAnsi="Arial" w:cs="Arial"/>
        </w:rPr>
        <w:t xml:space="preserve"> Retrieved from </w:t>
      </w:r>
      <w:hyperlink r:id="rId5" w:history="1">
        <w:r w:rsidRPr="00D17947">
          <w:rPr>
            <w:rStyle w:val="Hyperlink"/>
            <w:rFonts w:ascii="Arial" w:hAnsi="Arial" w:cs="Arial"/>
            <w:color w:val="auto"/>
            <w:u w:val="none"/>
          </w:rPr>
          <w:t>http://www.washingtonpost.com/blogs/virginia-</w:t>
        </w:r>
      </w:hyperlink>
      <w:r w:rsidRPr="00D17947">
        <w:rPr>
          <w:rFonts w:ascii="Arial" w:hAnsi="Arial" w:cs="Arial"/>
        </w:rPr>
        <w:tab/>
        <w:t>schools-insider/post/virginias-new-high-school-graduation-requirement-one-online%20course/2012/04/06/gIQAaz7E0S_blog.html</w:t>
      </w:r>
    </w:p>
    <w:p w:rsidR="00123AA8" w:rsidRDefault="00123AA8" w:rsidP="00123AA8">
      <w:pPr>
        <w:spacing w:line="240" w:lineRule="auto"/>
        <w:rPr>
          <w:rFonts w:ascii="Arial" w:hAnsi="Arial" w:cs="Arial"/>
        </w:rPr>
      </w:pPr>
      <w:proofErr w:type="spellStart"/>
      <w:r w:rsidRPr="00D17947">
        <w:rPr>
          <w:rFonts w:ascii="Arial" w:hAnsi="Arial" w:cs="Arial"/>
        </w:rPr>
        <w:t>Daum</w:t>
      </w:r>
      <w:proofErr w:type="spellEnd"/>
      <w:r w:rsidRPr="00D17947">
        <w:rPr>
          <w:rFonts w:ascii="Arial" w:hAnsi="Arial" w:cs="Arial"/>
        </w:rPr>
        <w:t xml:space="preserve">, D. N., &amp; </w:t>
      </w:r>
      <w:proofErr w:type="spellStart"/>
      <w:r w:rsidRPr="00D17947">
        <w:rPr>
          <w:rFonts w:ascii="Arial" w:hAnsi="Arial" w:cs="Arial"/>
        </w:rPr>
        <w:t>Buschner</w:t>
      </w:r>
      <w:proofErr w:type="spellEnd"/>
      <w:r w:rsidRPr="00D17947">
        <w:rPr>
          <w:rFonts w:ascii="Arial" w:hAnsi="Arial" w:cs="Arial"/>
        </w:rPr>
        <w:t xml:space="preserve">, C. (2012). </w:t>
      </w:r>
      <w:proofErr w:type="gramStart"/>
      <w:r w:rsidRPr="00D17947">
        <w:rPr>
          <w:rFonts w:ascii="Arial" w:hAnsi="Arial" w:cs="Arial"/>
        </w:rPr>
        <w:t xml:space="preserve">The Status of High School Online Physical Education in </w:t>
      </w:r>
      <w:r w:rsidRPr="00D17947">
        <w:rPr>
          <w:rFonts w:ascii="Arial" w:hAnsi="Arial" w:cs="Arial"/>
        </w:rPr>
        <w:tab/>
        <w:t>the United States.</w:t>
      </w:r>
      <w:proofErr w:type="gramEnd"/>
      <w:r w:rsidRPr="00D17947">
        <w:rPr>
          <w:rFonts w:ascii="Arial" w:hAnsi="Arial" w:cs="Arial"/>
        </w:rPr>
        <w:t xml:space="preserve"> </w:t>
      </w:r>
      <w:r w:rsidRPr="00D17947">
        <w:rPr>
          <w:rFonts w:ascii="Arial" w:hAnsi="Arial" w:cs="Arial"/>
          <w:i/>
        </w:rPr>
        <w:t>Journal of Teaching in Physical Education, 31</w:t>
      </w:r>
      <w:r w:rsidRPr="00D17947">
        <w:rPr>
          <w:rFonts w:ascii="Arial" w:hAnsi="Arial" w:cs="Arial"/>
        </w:rPr>
        <w:t xml:space="preserve">(1), 86-100. </w:t>
      </w:r>
    </w:p>
    <w:p w:rsidR="00123AA8" w:rsidRPr="00C455C6" w:rsidRDefault="00123AA8" w:rsidP="00123AA8">
      <w:pPr>
        <w:spacing w:line="240" w:lineRule="auto"/>
        <w:rPr>
          <w:rFonts w:ascii="Arial" w:hAnsi="Arial" w:cs="Arial"/>
          <w:i/>
        </w:rPr>
      </w:pPr>
      <w:proofErr w:type="gramStart"/>
      <w:r w:rsidRPr="00A90256">
        <w:rPr>
          <w:rFonts w:ascii="Arial" w:hAnsi="Arial" w:cs="Arial"/>
        </w:rPr>
        <w:t xml:space="preserve">Garn, A. C., Baker, B. L., Beasley, E. K., &amp; </w:t>
      </w:r>
      <w:proofErr w:type="spellStart"/>
      <w:r w:rsidRPr="00A90256">
        <w:rPr>
          <w:rFonts w:ascii="Arial" w:hAnsi="Arial" w:cs="Arial"/>
        </w:rPr>
        <w:t>Solmon</w:t>
      </w:r>
      <w:proofErr w:type="spellEnd"/>
      <w:r w:rsidRPr="00A90256">
        <w:rPr>
          <w:rFonts w:ascii="Arial" w:hAnsi="Arial" w:cs="Arial"/>
        </w:rPr>
        <w:t>, M. A. (2012).</w:t>
      </w:r>
      <w:proofErr w:type="gramEnd"/>
      <w:r w:rsidRPr="00A90256">
        <w:rPr>
          <w:rFonts w:ascii="Arial" w:hAnsi="Arial" w:cs="Arial"/>
        </w:rPr>
        <w:t xml:space="preserve"> What are the benefits of a commercial </w:t>
      </w:r>
      <w:proofErr w:type="spellStart"/>
      <w:r w:rsidRPr="00A90256">
        <w:rPr>
          <w:rFonts w:ascii="Arial" w:hAnsi="Arial" w:cs="Arial"/>
        </w:rPr>
        <w:t>exergaming</w:t>
      </w:r>
      <w:proofErr w:type="spellEnd"/>
      <w:r w:rsidRPr="00A90256">
        <w:rPr>
          <w:rFonts w:ascii="Arial" w:hAnsi="Arial" w:cs="Arial"/>
        </w:rPr>
        <w:t xml:space="preserve"> platform for college students? </w:t>
      </w:r>
      <w:proofErr w:type="gramStart"/>
      <w:r w:rsidRPr="00A90256">
        <w:rPr>
          <w:rFonts w:ascii="Arial" w:hAnsi="Arial" w:cs="Arial"/>
        </w:rPr>
        <w:t>Examining physical activity, enjoyment, and future intentions</w:t>
      </w:r>
      <w:r w:rsidRPr="00A90256">
        <w:rPr>
          <w:rFonts w:ascii="Arial" w:hAnsi="Arial" w:cs="Arial"/>
          <w:i/>
        </w:rPr>
        <w:t>.</w:t>
      </w:r>
      <w:proofErr w:type="gramEnd"/>
      <w:r w:rsidRPr="00A90256">
        <w:rPr>
          <w:rFonts w:ascii="Arial" w:hAnsi="Arial" w:cs="Arial"/>
          <w:i/>
        </w:rPr>
        <w:t xml:space="preserve"> Journal of Physical Activity &amp; Health, 9</w:t>
      </w:r>
      <w:r w:rsidRPr="00A90256">
        <w:rPr>
          <w:rFonts w:ascii="Arial" w:hAnsi="Arial" w:cs="Arial"/>
        </w:rPr>
        <w:t>(2),</w:t>
      </w:r>
      <w:r w:rsidRPr="00A90256">
        <w:rPr>
          <w:rFonts w:ascii="Arial" w:hAnsi="Arial" w:cs="Arial"/>
          <w:i/>
        </w:rPr>
        <w:t xml:space="preserve"> </w:t>
      </w:r>
      <w:r w:rsidRPr="00A90256">
        <w:rPr>
          <w:rFonts w:ascii="Arial" w:hAnsi="Arial" w:cs="Arial"/>
        </w:rPr>
        <w:t>311-318</w:t>
      </w:r>
      <w:r w:rsidRPr="00A90256">
        <w:rPr>
          <w:rFonts w:ascii="Arial" w:hAnsi="Arial" w:cs="Arial"/>
          <w:i/>
        </w:rPr>
        <w:t>.</w:t>
      </w:r>
    </w:p>
    <w:p w:rsidR="00123AA8" w:rsidRPr="00D17947" w:rsidRDefault="00123AA8" w:rsidP="00123AA8">
      <w:pPr>
        <w:spacing w:line="240" w:lineRule="auto"/>
        <w:rPr>
          <w:rFonts w:ascii="Arial" w:hAnsi="Arial" w:cs="Arial"/>
        </w:rPr>
      </w:pPr>
      <w:r w:rsidRPr="00D17947">
        <w:rPr>
          <w:rFonts w:ascii="Arial" w:hAnsi="Arial" w:cs="Arial"/>
        </w:rPr>
        <w:t xml:space="preserve">Hansen, L., &amp; Sanders, S. (2008). Interactive gaming: Changing the face of fitness. </w:t>
      </w:r>
      <w:r w:rsidRPr="00D17947">
        <w:rPr>
          <w:rFonts w:ascii="Arial" w:hAnsi="Arial" w:cs="Arial"/>
          <w:i/>
        </w:rPr>
        <w:t>Florida Alliance for Health, Physical Education, Recreation, Dance and Sport Journal, 46</w:t>
      </w:r>
      <w:r w:rsidRPr="00D17947">
        <w:rPr>
          <w:rFonts w:ascii="Arial" w:hAnsi="Arial" w:cs="Arial"/>
        </w:rPr>
        <w:t xml:space="preserve">(1), </w:t>
      </w:r>
      <w:r w:rsidRPr="00D17947">
        <w:rPr>
          <w:rFonts w:ascii="Arial" w:hAnsi="Arial" w:cs="Arial"/>
        </w:rPr>
        <w:tab/>
        <w:t xml:space="preserve">38-41. </w:t>
      </w:r>
    </w:p>
    <w:p w:rsidR="00123AA8" w:rsidRDefault="00123AA8" w:rsidP="00123AA8">
      <w:pPr>
        <w:spacing w:line="240" w:lineRule="auto"/>
        <w:rPr>
          <w:rFonts w:ascii="Arial" w:hAnsi="Arial" w:cs="Arial"/>
        </w:rPr>
      </w:pPr>
      <w:proofErr w:type="gramStart"/>
      <w:r w:rsidRPr="00D17947">
        <w:rPr>
          <w:rFonts w:ascii="Arial" w:hAnsi="Arial" w:cs="Arial"/>
        </w:rPr>
        <w:t>Sheehan, D., &amp; Katz, L. (2010).</w:t>
      </w:r>
      <w:proofErr w:type="gramEnd"/>
      <w:r w:rsidRPr="00D17947">
        <w:rPr>
          <w:rFonts w:ascii="Arial" w:hAnsi="Arial" w:cs="Arial"/>
        </w:rPr>
        <w:t xml:space="preserve"> </w:t>
      </w:r>
      <w:proofErr w:type="gramStart"/>
      <w:r w:rsidRPr="00D17947">
        <w:rPr>
          <w:rFonts w:ascii="Arial" w:hAnsi="Arial" w:cs="Arial"/>
        </w:rPr>
        <w:t xml:space="preserve">Using interactive fitness and </w:t>
      </w:r>
      <w:proofErr w:type="spellStart"/>
      <w:r w:rsidRPr="00D17947">
        <w:rPr>
          <w:rFonts w:ascii="Arial" w:hAnsi="Arial" w:cs="Arial"/>
        </w:rPr>
        <w:t>exergames</w:t>
      </w:r>
      <w:proofErr w:type="spellEnd"/>
      <w:r w:rsidRPr="00D17947">
        <w:rPr>
          <w:rFonts w:ascii="Arial" w:hAnsi="Arial" w:cs="Arial"/>
        </w:rPr>
        <w:t xml:space="preserve"> to develop physical literacy.</w:t>
      </w:r>
      <w:proofErr w:type="gramEnd"/>
      <w:r w:rsidRPr="00D17947">
        <w:rPr>
          <w:rFonts w:ascii="Arial" w:hAnsi="Arial" w:cs="Arial"/>
        </w:rPr>
        <w:t xml:space="preserve"> </w:t>
      </w:r>
      <w:r w:rsidRPr="00D17947">
        <w:rPr>
          <w:rFonts w:ascii="Arial" w:hAnsi="Arial" w:cs="Arial"/>
          <w:i/>
        </w:rPr>
        <w:t>Physical &amp; Health Education, 76</w:t>
      </w:r>
      <w:r w:rsidRPr="00D17947">
        <w:rPr>
          <w:rFonts w:ascii="Arial" w:hAnsi="Arial" w:cs="Arial"/>
        </w:rPr>
        <w:t xml:space="preserve">(1), 12-19. </w:t>
      </w:r>
    </w:p>
    <w:p w:rsidR="00123AA8" w:rsidRPr="00D17947" w:rsidRDefault="00123AA8" w:rsidP="00123AA8">
      <w:pPr>
        <w:spacing w:line="240" w:lineRule="auto"/>
        <w:rPr>
          <w:rFonts w:ascii="Arial" w:hAnsi="Arial" w:cs="Arial"/>
        </w:rPr>
      </w:pPr>
      <w:r w:rsidRPr="00A90256">
        <w:rPr>
          <w:rFonts w:ascii="Arial" w:hAnsi="Arial" w:cs="Arial"/>
        </w:rPr>
        <w:t xml:space="preserve">Sheehan, D. P., &amp; Katz, L. (2012). </w:t>
      </w:r>
      <w:proofErr w:type="gramStart"/>
      <w:r w:rsidRPr="00A90256">
        <w:rPr>
          <w:rFonts w:ascii="Arial" w:hAnsi="Arial" w:cs="Arial"/>
        </w:rPr>
        <w:t>The practical and theoretical implications of Flow Theory and intrinsic motivation in designing and implementing active gaming in the school environment.</w:t>
      </w:r>
      <w:proofErr w:type="gramEnd"/>
      <w:r w:rsidRPr="00A90256">
        <w:rPr>
          <w:rFonts w:ascii="Arial" w:hAnsi="Arial" w:cs="Arial"/>
        </w:rPr>
        <w:t> </w:t>
      </w:r>
      <w:r w:rsidRPr="00A90256">
        <w:rPr>
          <w:rFonts w:ascii="Arial" w:hAnsi="Arial" w:cs="Arial"/>
          <w:i/>
          <w:iCs/>
        </w:rPr>
        <w:t>Loading - The Journal of the Canadian Game Studies Association</w:t>
      </w:r>
      <w:r w:rsidRPr="00A90256">
        <w:rPr>
          <w:rFonts w:ascii="Arial" w:hAnsi="Arial" w:cs="Arial"/>
        </w:rPr>
        <w:t xml:space="preserve">, </w:t>
      </w:r>
      <w:r w:rsidRPr="00A90256">
        <w:rPr>
          <w:rFonts w:ascii="Arial" w:hAnsi="Arial" w:cs="Arial"/>
          <w:i/>
          <w:iCs/>
        </w:rPr>
        <w:t>6</w:t>
      </w:r>
      <w:r w:rsidRPr="00A90256">
        <w:rPr>
          <w:rFonts w:ascii="Arial" w:hAnsi="Arial" w:cs="Arial"/>
        </w:rPr>
        <w:t xml:space="preserve">(9), </w:t>
      </w:r>
      <w:r w:rsidRPr="00A90256">
        <w:rPr>
          <w:rFonts w:ascii="Arial" w:hAnsi="Arial" w:cs="Arial"/>
        </w:rPr>
        <w:tab/>
        <w:t>53-68.</w:t>
      </w:r>
    </w:p>
    <w:p w:rsidR="00123AA8" w:rsidRDefault="00123AA8" w:rsidP="00123AA8">
      <w:pPr>
        <w:spacing w:line="240" w:lineRule="auto"/>
        <w:rPr>
          <w:rFonts w:ascii="Arial" w:hAnsi="Arial" w:cs="Arial"/>
        </w:rPr>
      </w:pPr>
      <w:proofErr w:type="gramStart"/>
      <w:r w:rsidRPr="00D17947">
        <w:rPr>
          <w:rFonts w:ascii="Arial" w:hAnsi="Arial" w:cs="Arial"/>
        </w:rPr>
        <w:t xml:space="preserve">Watson, J., </w:t>
      </w:r>
      <w:proofErr w:type="spellStart"/>
      <w:r w:rsidRPr="00D17947">
        <w:rPr>
          <w:rFonts w:ascii="Arial" w:hAnsi="Arial" w:cs="Arial"/>
        </w:rPr>
        <w:t>Murin</w:t>
      </w:r>
      <w:proofErr w:type="spellEnd"/>
      <w:r w:rsidRPr="00D17947">
        <w:rPr>
          <w:rFonts w:ascii="Arial" w:hAnsi="Arial" w:cs="Arial"/>
        </w:rPr>
        <w:t xml:space="preserve">, A., </w:t>
      </w:r>
      <w:proofErr w:type="spellStart"/>
      <w:r w:rsidRPr="00D17947">
        <w:rPr>
          <w:rFonts w:ascii="Arial" w:hAnsi="Arial" w:cs="Arial"/>
        </w:rPr>
        <w:t>Vashaw</w:t>
      </w:r>
      <w:proofErr w:type="spellEnd"/>
      <w:r w:rsidRPr="00D17947">
        <w:rPr>
          <w:rFonts w:ascii="Arial" w:hAnsi="Arial" w:cs="Arial"/>
        </w:rPr>
        <w:t xml:space="preserve">, L., </w:t>
      </w:r>
      <w:proofErr w:type="spellStart"/>
      <w:r w:rsidRPr="00D17947">
        <w:rPr>
          <w:rFonts w:ascii="Arial" w:hAnsi="Arial" w:cs="Arial"/>
        </w:rPr>
        <w:t>Gemin</w:t>
      </w:r>
      <w:proofErr w:type="spellEnd"/>
      <w:r w:rsidRPr="00D17947">
        <w:rPr>
          <w:rFonts w:ascii="Arial" w:hAnsi="Arial" w:cs="Arial"/>
        </w:rPr>
        <w:t>, B., &amp; Rapp, C. (2012).</w:t>
      </w:r>
      <w:proofErr w:type="gramEnd"/>
      <w:r w:rsidRPr="00D17947">
        <w:rPr>
          <w:rFonts w:ascii="Arial" w:hAnsi="Arial" w:cs="Arial"/>
        </w:rPr>
        <w:t xml:space="preserve"> Keeping pace with K-12 online and blended learning: An annual review of policy and practice. Durango, CO: Evergreen Education Group.</w:t>
      </w:r>
    </w:p>
    <w:p w:rsidR="00AE42FF" w:rsidRDefault="00AE42FF">
      <w:bookmarkStart w:id="0" w:name="_GoBack"/>
      <w:bookmarkEnd w:id="0"/>
    </w:p>
    <w:sectPr w:rsidR="00A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A8"/>
    <w:rsid w:val="00123AA8"/>
    <w:rsid w:val="00A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A8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A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3AA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A8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A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3AA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shingtonpost.com/blogs/virgini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2014-03-21T20:40:00Z</dcterms:created>
  <dcterms:modified xsi:type="dcterms:W3CDTF">2014-03-21T20:41:00Z</dcterms:modified>
</cp:coreProperties>
</file>